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4463</w:t>
        <w:tab/>
        <w:tab/>
        <w:tab/>
        <w:tab/>
        <w:tab/>
        <w:t xml:space="preserve">Sant’Angelo in Vado, 09.09.2021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Ai docenti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Collegio docenti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lunedì 13 settembre 2021 dalle ore 17.30 alle ore 19.30 è convocato l’incontro in videoconferenza con il seguente O.d.G.: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Assegnazione nuovi docenti alle classi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Individuazione docenti per le Funzioni Strumentali - delibera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Conferma referenti Cyberbullismo e Team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Conferma Animatore digitale e team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Conferma gruppo progetto, ed. civica, valutazione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NIV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Nomina tutor docenti neoassunte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Nomina coordinatori di classe per la scuola primaria e secondaria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Nomina del GLI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delle Attività - delibera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Prime attività progettuali: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Io leggo perché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Settimana dislessia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Miniguide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piscina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avvio anno scolastico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PON SCUOLA - DIGITAL BOARD: Acquisto di attrezzature per la trasformazione digitale delle scuole (moduli: “monitor digitali interattivi per la didattica” e “digitalizzazione amministrativa”). Fondi PON “Per la scuola, competenze e ambienti per l’apprendimento” 2014-2020 – FESR – REACT EU. - delibera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darà il via al collegamento e invierà il link ai partecipanti.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intervenire durante la discussione si prega di prenotarsi tramite la chat.</w:t>
        <w:tab/>
      </w: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B">
      <w:pPr>
        <w:spacing w:after="16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C">
      <w:pPr>
        <w:spacing w:line="240" w:lineRule="auto"/>
        <w:ind w:left="360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oqYo13oLHTkp2SdlWje0bVyLA==">AMUW2mVDePRcn2JxGFKGtKTzrC74D1wUIi69Lpjzj1Y92qHbVB6uftoAKxnDRqbgDqalAlbtOrzdgDRQXdrlxdicgfKNPgOMrniPJ3fFCaG6vlRWAMQv3jJ5knQBN5Fo1MN6HgNsPQTN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