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Codice Meccanografico PSIC80400P  -  Codice Fiscale 82006950412</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2313                                                        Sant’Angelo in Vado, 21.03.2022</w:t>
      </w:r>
    </w:p>
    <w:p w:rsidR="00000000" w:rsidDel="00000000" w:rsidP="00000000" w:rsidRDefault="00000000" w:rsidRPr="00000000" w14:paraId="0000000A">
      <w:pPr>
        <w:jc w:val="center"/>
        <w:rPr>
          <w:rFonts w:ascii="Verdana" w:cs="Verdana" w:eastAsia="Verdana" w:hAnsi="Verdana"/>
          <w:color w:val="073763"/>
          <w:sz w:val="18"/>
          <w:szCs w:val="18"/>
        </w:rPr>
      </w:pPr>
      <w:r w:rsidDel="00000000" w:rsidR="00000000" w:rsidRPr="00000000">
        <w:rPr>
          <w:rtl w:val="0"/>
        </w:rPr>
      </w:r>
    </w:p>
    <w:p w:rsidR="00000000" w:rsidDel="00000000" w:rsidP="00000000" w:rsidRDefault="00000000" w:rsidRPr="00000000" w14:paraId="0000000B">
      <w:pPr>
        <w:pageBreakBefore w:val="0"/>
        <w:jc w:val="center"/>
        <w:rPr>
          <w:rFonts w:ascii="Verdana" w:cs="Verdana" w:eastAsia="Verdana" w:hAnsi="Verdana"/>
          <w:color w:val="073763"/>
          <w:sz w:val="18"/>
          <w:szCs w:val="18"/>
        </w:rPr>
      </w:pPr>
      <w:r w:rsidDel="00000000" w:rsidR="00000000" w:rsidRPr="00000000">
        <w:rPr>
          <w:rtl w:val="0"/>
        </w:rPr>
      </w:r>
    </w:p>
    <w:p w:rsidR="00000000" w:rsidDel="00000000" w:rsidP="00000000" w:rsidRDefault="00000000" w:rsidRPr="00000000" w14:paraId="0000000C">
      <w:pPr>
        <w:pageBreakBefore w:val="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pageBreakBefore w:val="0"/>
        <w:jc w:val="center"/>
        <w:rPr>
          <w:rFonts w:ascii="Verdana" w:cs="Verdana" w:eastAsia="Verdana" w:hAnsi="Verdana"/>
          <w:sz w:val="20"/>
          <w:szCs w:val="20"/>
        </w:rPr>
      </w:pPr>
      <w:r w:rsidDel="00000000" w:rsidR="00000000" w:rsidRPr="00000000">
        <w:rPr>
          <w:rtl w:val="0"/>
        </w:rPr>
      </w:r>
    </w:p>
    <w:tbl>
      <w:tblPr>
        <w:tblStyle w:val="Table1"/>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after="0" w:before="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Ai docenti </w:t>
            </w:r>
          </w:p>
          <w:p w:rsidR="00000000" w:rsidDel="00000000" w:rsidP="00000000" w:rsidRDefault="00000000" w:rsidRPr="00000000" w14:paraId="00000010">
            <w:pPr>
              <w:spacing w:after="0" w:before="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1">
            <w:pPr>
              <w:spacing w:after="0" w:before="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della Scuola Secondaria</w:t>
            </w:r>
          </w:p>
          <w:p w:rsidR="00000000" w:rsidDel="00000000" w:rsidP="00000000" w:rsidRDefault="00000000" w:rsidRPr="00000000" w14:paraId="00000012">
            <w:pPr>
              <w:spacing w:after="0" w:before="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5">
      <w:pPr>
        <w:pageBreakBefore w:val="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pageBreakBefore w:val="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7">
      <w:pPr>
        <w:pageBreakBefore w:val="0"/>
        <w:jc w:val="center"/>
        <w:rPr/>
      </w:pPr>
      <w:r w:rsidDel="00000000" w:rsidR="00000000" w:rsidRPr="00000000">
        <w:rPr>
          <w:rFonts w:ascii="Verdana" w:cs="Verdana" w:eastAsia="Verdana" w:hAnsi="Verdana"/>
          <w:b w:val="1"/>
          <w:sz w:val="20"/>
          <w:szCs w:val="20"/>
          <w:rtl w:val="0"/>
        </w:rPr>
        <w:t xml:space="preserve">CIRCOLARE N. 111</w:t>
      </w:r>
      <w:r w:rsidDel="00000000" w:rsidR="00000000" w:rsidRPr="00000000">
        <w:rPr>
          <w:rtl w:val="0"/>
        </w:rPr>
      </w:r>
    </w:p>
    <w:p w:rsidR="00000000" w:rsidDel="00000000" w:rsidP="00000000" w:rsidRDefault="00000000" w:rsidRPr="00000000" w14:paraId="00000018">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pageBreakBefore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C">
      <w:pPr>
        <w:pageBreakBefore w:val="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Oggetto: Esame di Stato del I ciclo - Ordinanza Ministeriale</w:t>
      </w:r>
      <w:r w:rsidDel="00000000" w:rsidR="00000000" w:rsidRPr="00000000">
        <w:rPr>
          <w:rtl w:val="0"/>
        </w:rPr>
      </w:r>
    </w:p>
    <w:p w:rsidR="00000000" w:rsidDel="00000000" w:rsidP="00000000" w:rsidRDefault="00000000" w:rsidRPr="00000000" w14:paraId="0000001D">
      <w:pPr>
        <w:pageBreakBefore w:val="0"/>
        <w:ind w:left="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Com’è noto, il 14 marzo 2022 è stata pubblicata l’Ordinanza Ministeriale n. 64 che disciplina lo svolgimento dell’Esame di Stato nel I ciclo di istruzione.</w:t>
      </w:r>
    </w:p>
    <w:p w:rsidR="00000000" w:rsidDel="00000000" w:rsidP="00000000" w:rsidRDefault="00000000" w:rsidRPr="00000000" w14:paraId="0000001F">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fine di fornire la necessaria informazione in materia, ne riporto qui di seguito i passaggi fondamentali, integrandoli con quanto previsto dalle norme in essa richiamate.</w:t>
      </w:r>
    </w:p>
    <w:p w:rsidR="00000000" w:rsidDel="00000000" w:rsidP="00000000" w:rsidRDefault="00000000" w:rsidRPr="00000000" w14:paraId="00000020">
      <w:pPr>
        <w:spacing w:after="240" w:befor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spacing w:after="240" w:befor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spacing w:after="240" w:befor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4">
            <w:pPr>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5">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26">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Fonts w:ascii="Verdana" w:cs="Verdana" w:eastAsia="Verdana" w:hAnsi="Verdana"/>
                <w:i w:val="1"/>
                <w:sz w:val="20"/>
                <w:szCs w:val="20"/>
                <w:rtl w:val="0"/>
              </w:rPr>
              <w:t xml:space="preserve">dott.ssa Sabrina Franciosi</w:t>
            </w:r>
            <w:r w:rsidDel="00000000" w:rsidR="00000000" w:rsidRPr="00000000">
              <w:rPr>
                <w:rtl w:val="0"/>
              </w:rPr>
            </w:r>
          </w:p>
          <w:p w:rsidR="00000000" w:rsidDel="00000000" w:rsidP="00000000" w:rsidRDefault="00000000" w:rsidRPr="00000000" w14:paraId="00000028">
            <w:pPr>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9">
            <w:pPr>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2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spacing w:line="276" w:lineRule="auto"/>
        <w:jc w:val="center"/>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ESAME DI STATO 2022 - SINTESI DELL’0.M. 64 DEL 14 MARZO CON INTEGRAZIONI NORMATIVE</w:t>
      </w:r>
    </w:p>
    <w:p w:rsidR="00000000" w:rsidDel="00000000" w:rsidP="00000000" w:rsidRDefault="00000000" w:rsidRPr="00000000" w14:paraId="0000002D">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E">
      <w:pPr>
        <w:spacing w:line="276"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276" w:lineRule="auto"/>
        <w:jc w:val="both"/>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Riferimenti normativi di base:</w:t>
      </w:r>
    </w:p>
    <w:p w:rsidR="00000000" w:rsidDel="00000000" w:rsidP="00000000" w:rsidRDefault="00000000" w:rsidRPr="00000000" w14:paraId="00000031">
      <w:pPr>
        <w:numPr>
          <w:ilvl w:val="0"/>
          <w:numId w:val="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OM 64 del 14 marzo 2022</w:t>
      </w:r>
    </w:p>
    <w:p w:rsidR="00000000" w:rsidDel="00000000" w:rsidP="00000000" w:rsidRDefault="00000000" w:rsidRPr="00000000" w14:paraId="00000032">
      <w:pPr>
        <w:numPr>
          <w:ilvl w:val="0"/>
          <w:numId w:val="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DLgs. 13 aprile 2017, n. 62 recante “Norme in materia di valutazione e certificazione delle competenze nel primo ciclo ed esami di Stato”</w:t>
      </w:r>
    </w:p>
    <w:p w:rsidR="00000000" w:rsidDel="00000000" w:rsidP="00000000" w:rsidRDefault="00000000" w:rsidRPr="00000000" w14:paraId="00000033">
      <w:pPr>
        <w:numPr>
          <w:ilvl w:val="0"/>
          <w:numId w:val="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DM 3 ottobre 2017, n. 741, concernente l’Esame di Stato conclusivo del primo ciclo di istruzione;</w:t>
      </w:r>
    </w:p>
    <w:p w:rsidR="00000000" w:rsidDel="00000000" w:rsidP="00000000" w:rsidRDefault="00000000" w:rsidRPr="00000000" w14:paraId="00000034">
      <w:pPr>
        <w:numPr>
          <w:ilvl w:val="0"/>
          <w:numId w:val="2"/>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DM 3 ottobre 2017, n. 742, concernente la certificazione delle competenze per il primo ciclo di istruzione;</w:t>
      </w:r>
    </w:p>
    <w:p w:rsidR="00000000" w:rsidDel="00000000" w:rsidP="00000000" w:rsidRDefault="00000000" w:rsidRPr="00000000" w14:paraId="00000035">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Periodo di svolgimento</w:t>
      </w:r>
    </w:p>
    <w:p w:rsidR="00000000" w:rsidDel="00000000" w:rsidP="00000000" w:rsidRDefault="00000000" w:rsidRPr="00000000" w14:paraId="0000003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L'esame di Stato conclusivo del primo ciclo di istruzione si svolge nel periodo compreso tra il termine delle lezioni e il 30 giugno 2022 salvo diversa disposizione connessa al l’andamento della situazione epidemiologica.</w:t>
      </w:r>
    </w:p>
    <w:p w:rsidR="00000000" w:rsidDel="00000000" w:rsidP="00000000" w:rsidRDefault="00000000" w:rsidRPr="00000000" w14:paraId="00000039">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Ammissione</w:t>
      </w:r>
    </w:p>
    <w:p w:rsidR="00000000" w:rsidDel="00000000" w:rsidP="00000000" w:rsidRDefault="00000000" w:rsidRPr="00000000" w14:paraId="0000003B">
      <w:pPr>
        <w:spacing w:line="276"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Requisiti:</w:t>
      </w:r>
    </w:p>
    <w:p w:rsidR="00000000" w:rsidDel="00000000" w:rsidP="00000000" w:rsidRDefault="00000000" w:rsidRPr="00000000" w14:paraId="0000003C">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numPr>
          <w:ilvl w:val="0"/>
          <w:numId w:val="1"/>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aver frequentato almeno tre quarti del monte ore annuale personalizzato, definito dall'ordinamento della scuola secondaria di primo grado, fatte salve le eventuali motivate deroghe deliberate dal collegio dei docenti, anche con riferimento alle specifiche situazioni dovute all’emergenza epidemiologica;</w:t>
      </w:r>
    </w:p>
    <w:p w:rsidR="00000000" w:rsidDel="00000000" w:rsidP="00000000" w:rsidRDefault="00000000" w:rsidRPr="00000000" w14:paraId="0000003E">
      <w:pPr>
        <w:numPr>
          <w:ilvl w:val="0"/>
          <w:numId w:val="1"/>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non essere incorsi nella sanzione disciplinare della non ammissione all’esame di Stato</w:t>
      </w:r>
    </w:p>
    <w:p w:rsidR="00000000" w:rsidDel="00000000" w:rsidP="00000000" w:rsidRDefault="00000000" w:rsidRPr="00000000" w14:paraId="0000003F">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spacing w:line="276"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Voto di ammissione:</w:t>
      </w:r>
    </w:p>
    <w:p w:rsidR="00000000" w:rsidDel="00000000" w:rsidP="00000000" w:rsidRDefault="00000000" w:rsidRPr="00000000" w14:paraId="0000004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Espresso dal consiglio di classe in decimi, considerando il percorso scolastico compiuto dall'alunna o dall'alunno</w:t>
      </w:r>
    </w:p>
    <w:p w:rsidR="00000000" w:rsidDel="00000000" w:rsidP="00000000" w:rsidRDefault="00000000" w:rsidRPr="00000000" w14:paraId="00000042">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caso di parziale o mancata acquisizione dei livelli di apprendimento in una o più discipline il consiglio di classe può deliberare, con adeguata motivazione, la non ammissione all’esame.</w:t>
      </w:r>
    </w:p>
    <w:p w:rsidR="00000000" w:rsidDel="00000000" w:rsidP="00000000" w:rsidRDefault="00000000" w:rsidRPr="00000000" w14:paraId="00000044">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Articolazione delle prove</w:t>
      </w:r>
    </w:p>
    <w:p w:rsidR="00000000" w:rsidDel="00000000" w:rsidP="00000000" w:rsidRDefault="00000000" w:rsidRPr="00000000" w14:paraId="0000004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numPr>
          <w:ilvl w:val="0"/>
          <w:numId w:val="3"/>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prova scritta relativa alle competenze di italiano o della lingua di insegnamento</w:t>
      </w:r>
    </w:p>
    <w:p w:rsidR="00000000" w:rsidDel="00000000" w:rsidP="00000000" w:rsidRDefault="00000000" w:rsidRPr="00000000" w14:paraId="00000049">
      <w:pPr>
        <w:numPr>
          <w:ilvl w:val="0"/>
          <w:numId w:val="3"/>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prova scritta relativa alle competenze logico matematiche</w:t>
      </w:r>
    </w:p>
    <w:p w:rsidR="00000000" w:rsidDel="00000000" w:rsidP="00000000" w:rsidRDefault="00000000" w:rsidRPr="00000000" w14:paraId="0000004A">
      <w:pPr>
        <w:numPr>
          <w:ilvl w:val="0"/>
          <w:numId w:val="3"/>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colloquio</w:t>
      </w:r>
    </w:p>
    <w:p w:rsidR="00000000" w:rsidDel="00000000" w:rsidP="00000000" w:rsidRDefault="00000000" w:rsidRPr="00000000" w14:paraId="0000004B">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Le prove scritte</w:t>
      </w:r>
    </w:p>
    <w:p w:rsidR="00000000" w:rsidDel="00000000" w:rsidP="00000000" w:rsidRDefault="00000000" w:rsidRPr="00000000" w14:paraId="0000004E">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spacing w:line="276"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Prima prova scritta (art. 7 DM 741)</w:t>
      </w:r>
    </w:p>
    <w:p w:rsidR="00000000" w:rsidDel="00000000" w:rsidP="00000000" w:rsidRDefault="00000000" w:rsidRPr="00000000" w14:paraId="0000005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prova scritta di italiano o della lingua nella quale si svolge l'insegnamento accerta la</w:t>
      </w:r>
    </w:p>
    <w:p w:rsidR="00000000" w:rsidDel="00000000" w:rsidP="00000000" w:rsidRDefault="00000000" w:rsidRPr="00000000" w14:paraId="0000005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padronanza della lingua, la capacità di espressione personale, il corretto ed appropriato uso della lingua e la coerente e organica esposizione del pensiero da parte delle alunne e degli alunni.</w:t>
      </w:r>
    </w:p>
    <w:p w:rsidR="00000000" w:rsidDel="00000000" w:rsidP="00000000" w:rsidRDefault="00000000" w:rsidRPr="00000000" w14:paraId="0000005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commissione predispone almeno tre terne di tracce, formulate in coerenza con il profilo dello studente e i traguardi di sviluppo delle competenze delle Indicazioni nazionali per il curricolo della scuola dell'infanzia e del primo ciclo di istruzione, con particolare riferimento alle seguenti tipologie:</w:t>
      </w:r>
    </w:p>
    <w:p w:rsidR="00000000" w:rsidDel="00000000" w:rsidP="00000000" w:rsidRDefault="00000000" w:rsidRPr="00000000" w14:paraId="0000005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testo narrativo o descrittivo coerente con la situazione, l'argomento, lo scopo e il destinatario indicati nella traccia;</w:t>
      </w:r>
    </w:p>
    <w:p w:rsidR="00000000" w:rsidDel="00000000" w:rsidP="00000000" w:rsidRDefault="00000000" w:rsidRPr="00000000" w14:paraId="00000054">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testo argomentativo, che consenta l'esposizione di riflessioni personali, per il quale devono essere fornite indicazioni di svolgimento;</w:t>
      </w:r>
    </w:p>
    <w:p w:rsidR="00000000" w:rsidDel="00000000" w:rsidP="00000000" w:rsidRDefault="00000000" w:rsidRPr="00000000" w14:paraId="0000005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comprensione e sintesi di un testo letterario, divulgativo, scientifico anche attraverso richieste di riformulazione.</w:t>
      </w:r>
    </w:p>
    <w:p w:rsidR="00000000" w:rsidDel="00000000" w:rsidP="00000000" w:rsidRDefault="00000000" w:rsidRPr="00000000" w14:paraId="00000056">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prova può essere strutturata in più parti riferibili alle diverse tipologie di cui sopra.</w:t>
      </w:r>
    </w:p>
    <w:p w:rsidR="00000000" w:rsidDel="00000000" w:rsidP="00000000" w:rsidRDefault="00000000" w:rsidRPr="00000000" w14:paraId="00000058">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giorno di effettuazione della prova la commissione sorteggia la terna di tracce che viene proposta ai candidati. Ciascun candidato svolge la prova scegliendo una delle tre tracce sorteggiate.</w:t>
      </w:r>
    </w:p>
    <w:p w:rsidR="00000000" w:rsidDel="00000000" w:rsidP="00000000" w:rsidRDefault="00000000" w:rsidRPr="00000000" w14:paraId="0000005A">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spacing w:line="276"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Seconda prova scritta (art. 8 DM 741)</w:t>
      </w:r>
    </w:p>
    <w:p w:rsidR="00000000" w:rsidDel="00000000" w:rsidP="00000000" w:rsidRDefault="00000000" w:rsidRPr="00000000" w14:paraId="0000005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prova scritta relativa alle competenze logico matematiche accerta la capacità di rielaborazione e di organizzazione delle conoscenze, delle abilità e delle competenze acquisite dalle alunne e dagli alunni nelle seguenti aree: numeri; spazio e figure; relazioni e funzioni; dati e previsioni. </w:t>
      </w:r>
    </w:p>
    <w:p w:rsidR="00000000" w:rsidDel="00000000" w:rsidP="00000000" w:rsidRDefault="00000000" w:rsidRPr="00000000" w14:paraId="0000005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commissione predispone almeno tre tracce, ciascuna riferita alle due seguenti tipologie: a) problemi articolati su una o più richieste; b) quesiti a risposta aperta. </w:t>
      </w:r>
    </w:p>
    <w:p w:rsidR="00000000" w:rsidDel="00000000" w:rsidP="00000000" w:rsidRDefault="00000000" w:rsidRPr="00000000" w14:paraId="0000005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Nella predisposizione delle tracce la commissione può fare riferimento anche ai metodi di analisi, organizzazione e rappresentazione dei dati, caratteristici del pensiero computazionale. </w:t>
      </w:r>
    </w:p>
    <w:p w:rsidR="00000000" w:rsidDel="00000000" w:rsidP="00000000" w:rsidRDefault="00000000" w:rsidRPr="00000000" w14:paraId="0000005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Qualora vengano proposti più problemi o quesiti, le relative soluzioni non devono essere dipendenti l'una dall'altra, per evitare che la loro progressione pregiudichi l'esecuzione della prova stessa.</w:t>
      </w:r>
    </w:p>
    <w:p w:rsidR="00000000" w:rsidDel="00000000" w:rsidP="00000000" w:rsidRDefault="00000000" w:rsidRPr="00000000" w14:paraId="0000006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giorno di effettuazione della prova la commissione sorteggia la traccia che viene proposta ai candidati.</w:t>
      </w:r>
    </w:p>
    <w:p w:rsidR="00000000" w:rsidDel="00000000" w:rsidP="00000000" w:rsidRDefault="00000000" w:rsidRPr="00000000" w14:paraId="00000061">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Il colloquio orale</w:t>
      </w:r>
    </w:p>
    <w:p w:rsidR="00000000" w:rsidDel="00000000" w:rsidP="00000000" w:rsidRDefault="00000000" w:rsidRPr="00000000" w14:paraId="00000064">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(DM 741 art. 10)</w:t>
      </w:r>
    </w:p>
    <w:p w:rsidR="00000000" w:rsidDel="00000000" w:rsidP="00000000" w:rsidRDefault="00000000" w:rsidRPr="00000000" w14:paraId="00000065">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colloquio è finalizzato a valutare il livello di acquisizione delle conoscenze, abilità e competenze descritte nel profilo finale dello studente previsto dalle Indicazioni nazionali per il curricolo della scuola dell’infanzia e del primo ciclo di istruzione. </w:t>
      </w:r>
    </w:p>
    <w:p w:rsidR="00000000" w:rsidDel="00000000" w:rsidP="00000000" w:rsidRDefault="00000000" w:rsidRPr="00000000" w14:paraId="0000006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colloquio viene condotto collegialmente dalla sottocommissione, ponendo particolare attenzione alle capacità di argomentazione, di risoluzione di problemi, di pensiero critico e riflessivo, di collegamento organico e significativo tra le varie discipline di studio. </w:t>
      </w:r>
    </w:p>
    <w:p w:rsidR="00000000" w:rsidDel="00000000" w:rsidP="00000000" w:rsidRDefault="00000000" w:rsidRPr="00000000" w14:paraId="00000069">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corso del colloquio è accertato anche il livello di padronanza delle competenze relative alla lingua inglese e alla seconda lingua comunitaria, nonché delle competenze relative all’insegnamento dell’educazione civica.</w:t>
      </w:r>
    </w:p>
    <w:p w:rsidR="00000000" w:rsidDel="00000000" w:rsidP="00000000" w:rsidRDefault="00000000" w:rsidRPr="00000000" w14:paraId="0000006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i percorsi a indirizzo musicale, nell'ambito del colloquio è previsto anche lo  svolgimento di una prova pratica di strumento.</w:t>
      </w:r>
    </w:p>
    <w:p w:rsidR="00000000" w:rsidDel="00000000" w:rsidP="00000000" w:rsidRDefault="00000000" w:rsidRPr="00000000" w14:paraId="0000006C">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Misure per candidati con disabilità</w:t>
      </w:r>
    </w:p>
    <w:p w:rsidR="00000000" w:rsidDel="00000000" w:rsidP="00000000" w:rsidRDefault="00000000" w:rsidRPr="00000000" w14:paraId="00000073">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(DM 741 art. 14)</w:t>
      </w:r>
    </w:p>
    <w:p w:rsidR="00000000" w:rsidDel="00000000" w:rsidP="00000000" w:rsidRDefault="00000000" w:rsidRPr="00000000" w14:paraId="00000074">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lo svolgimento dell'esame di Stato la sottocommissione predispone, se necessario, sulla base del piano educativo individualizzato relativo alle attività svolte, alle valutazioni effettuate e all'assistenza eventualmente prevista per l'autonomia e la comunicazione, prove differenziate idonee a valutare i progressi del candidato con disabilità in rapporto ai livelli di apprendimento iniziali. </w:t>
      </w:r>
    </w:p>
    <w:p w:rsidR="00000000" w:rsidDel="00000000" w:rsidP="00000000" w:rsidRDefault="00000000" w:rsidRPr="00000000" w14:paraId="00000076">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alunne e gli alunni con disabilità certificata ai sensi della legge 5 febbraio 1992, n. 104, sostengono le prove d'esame con l'uso di attrezzature tecniche e sussidi didattici, nonché ogni altra forma di ausilio professionale o tecnico loro necessario, utilizzato abitualmente nel corso dell'anno scolastico per l'attuazione del piano educativo individualizzato, di cui all'articolo 7 del decreto legislativo 13 aprile 2017, n. 66, o comunque ritenuti funzionali allo svolgimento delle prove. </w:t>
      </w:r>
    </w:p>
    <w:p w:rsidR="00000000" w:rsidDel="00000000" w:rsidP="00000000" w:rsidRDefault="00000000" w:rsidRPr="00000000" w14:paraId="0000007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prove differenziate hanno valore equivalente a quelle ordinarie ai fini del superamento dell'esame di Stato e del conseguimento del diploma finale. </w:t>
      </w:r>
    </w:p>
    <w:p w:rsidR="00000000" w:rsidDel="00000000" w:rsidP="00000000" w:rsidRDefault="00000000" w:rsidRPr="00000000" w14:paraId="0000007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candidati con disabilità che non si presentano all'esame di Stato viene rilasciato un attestato di credito formativo. Tale attestato è comunque titolo per l'iscrizione e la frequenza della scuola secondaria di secondo grado ovvero dei corsi di istruzione e formazione professionale, ai soli fini del riconoscimento di ulteriori crediti formativi da valere anche per percorsi integrati di istruzione e formazione.</w:t>
      </w:r>
    </w:p>
    <w:p w:rsidR="00000000" w:rsidDel="00000000" w:rsidP="00000000" w:rsidRDefault="00000000" w:rsidRPr="00000000" w14:paraId="00000079">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Misure per candidati con DSA</w:t>
      </w:r>
    </w:p>
    <w:p w:rsidR="00000000" w:rsidDel="00000000" w:rsidP="00000000" w:rsidRDefault="00000000" w:rsidRPr="00000000" w14:paraId="0000007C">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(DM 741 art. 14)</w:t>
      </w:r>
    </w:p>
    <w:p w:rsidR="00000000" w:rsidDel="00000000" w:rsidP="00000000" w:rsidRDefault="00000000" w:rsidRPr="00000000" w14:paraId="0000007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le alunne e gli alunni con disturbi specifici di apprendimento (DSA) certificati ai sensi della legge 8 ottobre 2010, n. 170, lo svolgimento dell'esame di Stato è coerente con il piano didattico personalizzato predisposto dal consiglio di classe. </w:t>
      </w:r>
    </w:p>
    <w:p w:rsidR="00000000" w:rsidDel="00000000" w:rsidP="00000000" w:rsidRDefault="00000000" w:rsidRPr="00000000" w14:paraId="0000007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l'effettuazione delle prove scritte la commissione può riservare alle alunne e agli alunni con DSA tempi più lunghi di quelli ordinari. Può, altresì, consentire l'utilizzazione di strumenti compensativi, quali apparecchiature e strumenti informatici solo nel caso in cui siano stati previsti dal piano didattico personalizzato, siano già stati utilizzati abitualmente nel corso dell'anno scolastico o comunque siano ritenuti funzionali allo svolgimento dell'esame di Stato, senza che venga pregiudicata la validità delle prove scritte. </w:t>
      </w:r>
    </w:p>
    <w:p w:rsidR="00000000" w:rsidDel="00000000" w:rsidP="00000000" w:rsidRDefault="00000000" w:rsidRPr="00000000" w14:paraId="0000008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Nella valutazione delle prove scritte, la sottocommissione, adotta criteri valutativi che tengano particolare conto delle competenze acquisite sulla base del piano didattico personalizzato. </w:t>
      </w:r>
    </w:p>
    <w:p w:rsidR="00000000" w:rsidDel="00000000" w:rsidP="00000000" w:rsidRDefault="00000000" w:rsidRPr="00000000" w14:paraId="0000008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il candidato la cui certificazione di disturbo specifico di apprendimento abbia previsto la dispensa dalla prova scritta di lingue straniere, la sottocommissione stabilisce modalità e contenuti della prova orale sostitutiva di tale prova. </w:t>
      </w:r>
    </w:p>
    <w:p w:rsidR="00000000" w:rsidDel="00000000" w:rsidP="00000000" w:rsidRDefault="00000000" w:rsidRPr="00000000" w14:paraId="0000008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il candidato la cui certificazione di disturbo specifico di apprendimento abbia previsto l'esonero dall'insegnamento delle lingue straniere, la sottocommissione predispone, se necessario, prove differenziate, coerenti con il percorso svolto, con valore equivalente ai fini del superamento dell'esame di Stato e del conseguimento del diploma.</w:t>
      </w:r>
    </w:p>
    <w:p w:rsidR="00000000" w:rsidDel="00000000" w:rsidP="00000000" w:rsidRDefault="00000000" w:rsidRPr="00000000" w14:paraId="00000083">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5">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Misure per candidati con altri Bisogni Educativi Speciali</w:t>
      </w:r>
    </w:p>
    <w:p w:rsidR="00000000" w:rsidDel="00000000" w:rsidP="00000000" w:rsidRDefault="00000000" w:rsidRPr="00000000" w14:paraId="00000086">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i candidati con altri bisogni educativi speciali, formalmente individuati dal consiglio di classe, che non rientrano nelle tutele della legge 8 ottobre 2010, n. 170 e della legge 5 febbraio 1992, n. 104, non è prevista alcuna misura dispensativa in sede di esame, mentre è assicurato l'utilizzo degli strumenti compensativi già previsti dal Piano didattico personalizzato</w:t>
      </w:r>
    </w:p>
    <w:p w:rsidR="00000000" w:rsidDel="00000000" w:rsidP="00000000" w:rsidRDefault="00000000" w:rsidRPr="00000000" w14:paraId="00000088">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Alunni in ospedale o in istruzione domiciliare</w:t>
      </w:r>
    </w:p>
    <w:p w:rsidR="00000000" w:rsidDel="00000000" w:rsidP="00000000" w:rsidRDefault="00000000" w:rsidRPr="00000000" w14:paraId="0000008B">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(DM 741 art. 15)</w:t>
      </w:r>
    </w:p>
    <w:p w:rsidR="00000000" w:rsidDel="00000000" w:rsidP="00000000" w:rsidRDefault="00000000" w:rsidRPr="00000000" w14:paraId="0000008C">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L'alunna o l'alunno, ricoverati presso ospedali o luoghi di cura nel periodo di svolgimento dell'esame di Stato, possono sostenere in ospedale tutte le prove o alcune di esse.</w:t>
      </w:r>
    </w:p>
    <w:p w:rsidR="00000000" w:rsidDel="00000000" w:rsidP="00000000" w:rsidRDefault="00000000" w:rsidRPr="00000000" w14:paraId="0000008E">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alunni che hanno frequentato corsi di istruzione funzionanti in ospedale o luoghi di cura per periodi temporalmente rilevanti e senza soluzione di continuità con il periodo di svolgimento dell' esame di Stato, sostengono le prove in presenza di una commissione formata dai docenti ospedalieri, che hanno seguito i candidati, integrata con i docenti delle discipline mancanti, scelti e individuati in accordo con l'Ufficio Scolastico Regionale e la scuola di provenienza.</w:t>
      </w:r>
    </w:p>
    <w:p w:rsidR="00000000" w:rsidDel="00000000" w:rsidP="00000000" w:rsidRDefault="00000000" w:rsidRPr="00000000" w14:paraId="00000090">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alunni ricoverati nel solo periodo di svolgimento dell'esame di Stato sostengono le prove, ove possibile, in sessione suppletiva. In alternativa, ove consentito dalle condizioni di salute, gli alunni sostengono le prove o alcune di esse in ospedale alla presenza della sottocommissione della scuola di provenienza</w:t>
      </w:r>
    </w:p>
    <w:p w:rsidR="00000000" w:rsidDel="00000000" w:rsidP="00000000" w:rsidRDefault="00000000" w:rsidRPr="00000000" w14:paraId="00000092">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modalità di effettuazione dell'esame di Stato si applicano anche ai casi di istruzione domiciliare per le alunne e gli alunni impossibilitati a recarsi a scuola. In casi di particolare gravità e ove se ne ravvisi la necessità è consentito lo svolgimento delle prove anche attraverso modalità telematiche a comunicazione sincronica, alla presenza di componenti della sottocommissione allo scopo individuati.</w:t>
      </w:r>
    </w:p>
    <w:p w:rsidR="00000000" w:rsidDel="00000000" w:rsidP="00000000" w:rsidRDefault="00000000" w:rsidRPr="00000000" w14:paraId="00000094">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5">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Valutazione finale</w:t>
      </w:r>
    </w:p>
    <w:p w:rsidR="00000000" w:rsidDel="00000000" w:rsidP="00000000" w:rsidRDefault="00000000" w:rsidRPr="00000000" w14:paraId="0000009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commissione delibera, su proposta della sottocommissione, la valutazione finale espressa con votazione in decimi, secondo quanto disposto dall'articolo 13 del DM 741/2017:</w:t>
      </w:r>
    </w:p>
    <w:p w:rsidR="00000000" w:rsidDel="00000000" w:rsidP="00000000" w:rsidRDefault="00000000" w:rsidRPr="00000000" w14:paraId="00000099">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fini della determinazione del voto finale dell'esame di Stato di ciascun candidato, la sottocommissione procede preliminarmente a calcolare la media tra i voti delle singole prove scritte e del colloquio, senza applicare, in questa fase, arrotondamenti all'unità superiore o inferiore.</w:t>
      </w:r>
    </w:p>
    <w:p w:rsidR="00000000" w:rsidDel="00000000" w:rsidP="00000000" w:rsidRDefault="00000000" w:rsidRPr="00000000" w14:paraId="0000009B">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Successivamente procede a determinare il voto finale, che deriva dalla media tra il voto di ammissione e la media dei voti delle prove scritte e del colloquio. </w:t>
      </w:r>
    </w:p>
    <w:p w:rsidR="00000000" w:rsidDel="00000000" w:rsidP="00000000" w:rsidRDefault="00000000" w:rsidRPr="00000000" w14:paraId="0000009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voto finale così calcolato viene arrotondato all'unità superiore per frazioni pari o superiori a 0,5 e proposto alla commissione in seduta plenaria. </w:t>
      </w:r>
    </w:p>
    <w:p w:rsidR="00000000" w:rsidDel="00000000" w:rsidP="00000000" w:rsidRDefault="00000000" w:rsidRPr="00000000" w14:paraId="0000009E">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i candidati privatisti il voto finale viene determinato dalla media dei voti attribuiti alle prove scritte ed al colloquio. Per frazioni pari o superiori a 0,5, il voto finale è arrotondato all'unità superiore.</w:t>
      </w:r>
    </w:p>
    <w:p w:rsidR="00000000" w:rsidDel="00000000" w:rsidP="00000000" w:rsidRDefault="00000000" w:rsidRPr="00000000" w14:paraId="000000A0">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L’esame di Stato si intende superato se il candidato consegue una valutazione finale di almeno sei decimi.</w:t>
      </w:r>
    </w:p>
    <w:p w:rsidR="00000000" w:rsidDel="00000000" w:rsidP="00000000" w:rsidRDefault="00000000" w:rsidRPr="00000000" w14:paraId="000000A2">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valutazione finale espressa con la votazione di dieci decimi può essere accompagnata dalla lode, con deliberazione all’unanimità della commissione, su proposta della sottocommissione, in relazione alle valutazioni conseguite nel percorso scolastico del triennio e agli esiti della prova d'esame.</w:t>
      </w:r>
    </w:p>
    <w:p w:rsidR="00000000" w:rsidDel="00000000" w:rsidP="00000000" w:rsidRDefault="00000000" w:rsidRPr="00000000" w14:paraId="000000A4">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6">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Pubblicazione degli esiti</w:t>
      </w:r>
    </w:p>
    <w:p w:rsidR="00000000" w:rsidDel="00000000" w:rsidP="00000000" w:rsidRDefault="00000000" w:rsidRPr="00000000" w14:paraId="000000A7">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L’esito dell'esame, con l’indicazione del punteggio finale conseguito, inclusa la menzione</w:t>
      </w:r>
    </w:p>
    <w:p w:rsidR="00000000" w:rsidDel="00000000" w:rsidP="00000000" w:rsidRDefault="00000000" w:rsidRPr="00000000" w14:paraId="000000A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della lode qualora attribuita dalla commissione, è pubblicato tramite affissione di tabelloni presso l’istituzione scolastica sede della sottocommissione, nonché, distintamente per ogni classe, solo e u unicamente nell’area documentale riservata del registro elettronico, cui accedono gli studenti della classe di riferimento, con la sola indicazione della dicitura “Non diplomato" nel caso di mancato superamento dell'esame stesso.</w:t>
      </w:r>
    </w:p>
    <w:p w:rsidR="00000000" w:rsidDel="00000000" w:rsidP="00000000" w:rsidRDefault="00000000" w:rsidRPr="00000000" w14:paraId="000000AA">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diploma finale rilasciato al termine dell'esame di Stato e nei tabelloni affissi all’albo di</w:t>
      </w:r>
    </w:p>
    <w:p w:rsidR="00000000" w:rsidDel="00000000" w:rsidP="00000000" w:rsidRDefault="00000000" w:rsidRPr="00000000" w14:paraId="000000A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istituto non viene fatta menzione delle eventuali modalità di svolgimento dell’esame per gli alunni con disabilità e con disturbi specifici dell'apprendimento.</w:t>
      </w:r>
    </w:p>
    <w:p w:rsidR="00000000" w:rsidDel="00000000" w:rsidP="00000000" w:rsidRDefault="00000000" w:rsidRPr="00000000" w14:paraId="000000A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Prove standardizzate</w:t>
      </w:r>
    </w:p>
    <w:p w:rsidR="00000000" w:rsidDel="00000000" w:rsidP="00000000" w:rsidRDefault="00000000" w:rsidRPr="00000000" w14:paraId="000000AF">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alunni ivi compresi i candidati privatisti partecipano alle prove standardizzate nazionali di italiano, matematica e inglese nel caso in cui le condizioni epidemiologiche e le determinazioni delle autorità competenti lo consentano. La mancata partecipazione non rileva in ogni caso per l’ammissione all'esame di Stato.</w:t>
      </w:r>
    </w:p>
    <w:p w:rsidR="00000000" w:rsidDel="00000000" w:rsidP="00000000" w:rsidRDefault="00000000" w:rsidRPr="00000000" w14:paraId="000000B1">
      <w:pPr>
        <w:spacing w:line="276"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2">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Certificazione delle competenze</w:t>
      </w:r>
    </w:p>
    <w:p w:rsidR="00000000" w:rsidDel="00000000" w:rsidP="00000000" w:rsidRDefault="00000000" w:rsidRPr="00000000" w14:paraId="000000B3">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4">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certificazione delle competenze è redatta durante lo scrutinio finale dal consiglio di classe ed è rilasciata agli alunni che superano l’esame di Stato, ad eccezione degli alunni privatisti per i quali detta certificazione non è prevista. </w:t>
      </w:r>
    </w:p>
    <w:p w:rsidR="00000000" w:rsidDel="00000000" w:rsidP="00000000" w:rsidRDefault="00000000" w:rsidRPr="00000000" w14:paraId="000000B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gli alunni che hanno partecipato alle prove standardizzate nazionali la certificazione delle competenze è integrata con una sezione redatta a cura di INVALSI.</w:t>
      </w:r>
    </w:p>
    <w:p w:rsidR="00000000" w:rsidDel="00000000" w:rsidP="00000000" w:rsidRDefault="00000000" w:rsidRPr="00000000" w14:paraId="000000B6">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7">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Prove di esame in videoconferenza</w:t>
      </w:r>
    </w:p>
    <w:p w:rsidR="00000000" w:rsidDel="00000000" w:rsidP="00000000" w:rsidRDefault="00000000" w:rsidRPr="00000000" w14:paraId="000000B8">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caso in cui le condizioni epidemiologiche, le normative vigenti e le disposizioni delle autorità competenti lo richiedano, i lavori della commissione e delle sottocommissioni potranno svolgersi in videoconferenza.</w:t>
      </w:r>
    </w:p>
    <w:p w:rsidR="00000000" w:rsidDel="00000000" w:rsidP="00000000" w:rsidRDefault="00000000" w:rsidRPr="00000000" w14:paraId="000000BA">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candidati impossibilitati a lasciare il proprio domicilio, presentano istanza corredata di idonea documentazione al presidente della commissione per poter svolgere il colloquio al di fuori della sede scolastica. </w:t>
      </w:r>
    </w:p>
    <w:p w:rsidR="00000000" w:rsidDel="00000000" w:rsidP="00000000" w:rsidRDefault="00000000" w:rsidRPr="00000000" w14:paraId="000000B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presidente della commissione dispone la modalità di svolgimento del colloquio in videoconferenza o in altra modalità telematica sincrona.</w:t>
      </w:r>
    </w:p>
    <w:p w:rsidR="00000000" w:rsidDel="00000000" w:rsidP="00000000" w:rsidRDefault="00000000" w:rsidRPr="00000000" w14:paraId="000000B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E">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ogni caso le prove scritte devono essere svolte dai candidati in presenza.</w:t>
      </w:r>
    </w:p>
    <w:p w:rsidR="00000000" w:rsidDel="00000000" w:rsidP="00000000" w:rsidRDefault="00000000" w:rsidRPr="00000000" w14:paraId="000000BF">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0">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Nei casi in cui uno o più componenti della commissione d’esame siano impossibilitati a seguire i lavori in presenza in conseguenza di specifiche disposizioni sanitarie connesse all’emergenza epidemiologica, il presidente della commissione può disporre la partecipazione degli interessati in videoconferenza o altra modalità telematica sincrona.</w:t>
      </w:r>
    </w:p>
    <w:p w:rsidR="00000000" w:rsidDel="00000000" w:rsidP="00000000" w:rsidRDefault="00000000" w:rsidRPr="00000000" w14:paraId="000000C1">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Eventuale sessione suppletiva</w:t>
      </w:r>
    </w:p>
    <w:p w:rsidR="00000000" w:rsidDel="00000000" w:rsidP="00000000" w:rsidRDefault="00000000" w:rsidRPr="00000000" w14:paraId="000000C3">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spacing w:line="276" w:lineRule="auto"/>
        <w:jc w:val="both"/>
        <w:rPr/>
      </w:pPr>
      <w:r w:rsidDel="00000000" w:rsidR="00000000" w:rsidRPr="00000000">
        <w:rPr>
          <w:rFonts w:ascii="Verdana" w:cs="Verdana" w:eastAsia="Verdana" w:hAnsi="Verdana"/>
          <w:sz w:val="20"/>
          <w:szCs w:val="20"/>
          <w:rtl w:val="0"/>
        </w:rPr>
        <w:t xml:space="preserve">Per le alunne e gli alunni risultati assenti ad una o più prove, per gravi e documentati motivi, la commissione prevede una sessione suppletiva d'esame che si conclude entro il 30 giugno e, comunque, in casi eccezionali, entro il termine dell'anno scolastico (31 agosto), salvo diversa disposizione connessa all'andamento della situazione epidemiologici.</w:t>
      </w:r>
      <w:r w:rsidDel="00000000" w:rsidR="00000000" w:rsidRPr="00000000">
        <w:rPr>
          <w:rtl w:val="0"/>
        </w:rPr>
      </w:r>
    </w:p>
    <w:sectPr>
      <w:pgSz w:h="16838" w:w="11906" w:orient="portrait"/>
      <w:pgMar w:bottom="1133.8582677165355" w:top="1133.8582677165355"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Italian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9j2c6rm+OemaW6VH33xoRYF4Dw==">AMUW2mVHc0fFO7apdHRHYJsQJZFF4zXYX+LNoUXn0vV5H5HPfeS3C+9dH7mZr6PusXk3NTTz5rj7OVbVcjoxWEn98dqYNFqMZv2GN6MZHzrCNtoLt5JeOqGPrQLoVE4MwzSiV1LuWm8t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