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95"/>
        <w:gridCol w:w="4635"/>
        <w:tblGridChange w:id="0">
          <w:tblGrid>
            <w:gridCol w:w="4995"/>
            <w:gridCol w:w="463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2365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23.03.2022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114</w:t>
      </w:r>
    </w:p>
    <w:p w:rsidR="00000000" w:rsidDel="00000000" w:rsidP="00000000" w:rsidRDefault="00000000" w:rsidRPr="00000000" w14:paraId="00000011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Divieto di fumo (responsabilità amministrative e disciplinari) 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applicazione del D.L. 104 del 12.09.2013, ricordo il divieto di fumare in tutti i locali dell’Istituto e nelle relative pertinenze esterne. 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divieto è esteso alle sigarette elettroniche sia all’interno che all’esterno dell’edificio.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43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1F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1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3wC/MqDNkDjj3YAdyj86bmrEkA==">AMUW2mVUcI3Mwn9vPz3ptV+Ho63eCl9Y81AafKopwbRIKFl88vJvBAnop3uAnPKbnE8CA7DqiFvg6J87rGkSe5dAsk1eoIJizA45XLB9K73nuoWzN6hN2WHVCHqp+T9SUtSH8N6kFvEn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