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 .03.2022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5"/>
        <w:gridCol w:w="4245"/>
        <w:tblGridChange w:id="0">
          <w:tblGrid>
            <w:gridCol w:w="5535"/>
            <w:gridCol w:w="4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 Personale A.T.A.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Decreto pubblicazione graduatoria interna di Istituto - A.T.A.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graduatoria di Istituto valida per l’anno 2021-2022;</w:t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l’O.M.45 del 25 febbraio 2022;</w:t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necessità di aggiornamento per l’individuazione dei soprannumerari;</w:t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comunicazione prot. 1643 del 28.02.2022 ;</w:t>
      </w:r>
    </w:p>
    <w:p w:rsidR="00000000" w:rsidDel="00000000" w:rsidP="00000000" w:rsidRDefault="00000000" w:rsidRPr="00000000" w14:paraId="0000001F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le schede di valutazione presentate;</w:t>
      </w:r>
    </w:p>
    <w:p w:rsidR="00000000" w:rsidDel="00000000" w:rsidP="00000000" w:rsidRDefault="00000000" w:rsidRPr="00000000" w14:paraId="00000020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normativa vigente;</w:t>
      </w:r>
    </w:p>
    <w:p w:rsidR="00000000" w:rsidDel="00000000" w:rsidP="00000000" w:rsidRDefault="00000000" w:rsidRPr="00000000" w14:paraId="00000021">
      <w:pPr>
        <w:widowControl w:val="0"/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63.6513328552246" w:lineRule="auto"/>
        <w:ind w:left="288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DECRETA</w:t>
      </w:r>
    </w:p>
    <w:p w:rsidR="00000000" w:rsidDel="00000000" w:rsidP="00000000" w:rsidRDefault="00000000" w:rsidRPr="00000000" w14:paraId="00000023">
      <w:pPr>
        <w:widowControl w:val="0"/>
        <w:spacing w:line="263.651332855224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e per gli effetti di quanto indicato in oggetto, la pubblicazione in data odierna,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giovedì 24.03.2022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delle graduatorie d’istituto del personale A.T.A. con contratto di lavoro a tempo indeterminato. 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Avverso le suddette graduatorie è ammessa la presentazione di motivato reclamo entro 5 giorni dalla pubblicazione, indirizzato al Dirigente Scolastico. 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reclami saranno esaminati con eventuali provvedimenti correttivi degli atti contestati entro il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09/04/2022. 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decisioni sui reclami sono atti definitivi.</w:t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sfWLMNkxK4Qo3tZaHnrmK7S8A==">AMUW2mXnFRmBX4FDVeD3p/V3raMBv0rRjOkzcN3j4a8p5AgHwDP2vtZb/5OEvhN38X9mL+w2DJpbZ2jDzo6X8a7/Xw9naC6rI6yq3fiPVBlhjzS9bPzhcmWnh/XlMzRIeZK1wKWdlOcT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