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07376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c4587"/>
          <w:sz w:val="18"/>
          <w:szCs w:val="18"/>
        </w:rPr>
      </w:pPr>
      <w:r w:rsidDel="00000000" w:rsidR="00000000" w:rsidRPr="00000000">
        <w:rPr>
          <w:color w:val="1c4587"/>
          <w:sz w:val="22"/>
          <w:szCs w:val="22"/>
        </w:rPr>
        <w:drawing>
          <wp:inline distB="114300" distT="114300" distL="114300" distR="114300">
            <wp:extent cx="742950" cy="742950"/>
            <wp:effectExtent b="0" l="0" r="0" t="0"/>
            <wp:docPr id="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2"/>
          <w:szCs w:val="42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2"/>
          <w:szCs w:val="42"/>
          <w:rtl w:val="0"/>
        </w:rPr>
        <w:t xml:space="preserve">Ministero dell ’Istruzione</w:t>
      </w:r>
    </w:p>
    <w:p w:rsidR="00000000" w:rsidDel="00000000" w:rsidP="00000000" w:rsidRDefault="00000000" w:rsidRPr="00000000" w14:paraId="00000004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6"/>
          <w:szCs w:val="26"/>
          <w:rtl w:val="0"/>
        </w:rPr>
        <w:t xml:space="preserve">        </w:t>
        <w:tab/>
        <w:t xml:space="preserve"> </w:t>
        <w:tab/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 Istituto Comprensivo Statale</w:t>
      </w:r>
    </w:p>
    <w:p w:rsidR="00000000" w:rsidDel="00000000" w:rsidP="00000000" w:rsidRDefault="00000000" w:rsidRPr="00000000" w14:paraId="00000005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2"/>
          <w:szCs w:val="22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6">
      <w:pPr>
        <w:ind w:left="567" w:right="685" w:firstLine="0"/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6"/>
            <w:szCs w:val="16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psic80400p@pec.istruzione.it</w:t>
      </w:r>
    </w:p>
    <w:p w:rsidR="00000000" w:rsidDel="00000000" w:rsidP="00000000" w:rsidRDefault="00000000" w:rsidRPr="00000000" w14:paraId="00000008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color w:val="1c4587"/>
          <w:sz w:val="16"/>
          <w:szCs w:val="16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9">
      <w:pPr>
        <w:jc w:val="center"/>
        <w:rPr>
          <w:rFonts w:ascii="Verdana" w:cs="Verdana" w:eastAsia="Verdana" w:hAnsi="Verdana"/>
          <w:color w:val="1c4587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color w:val="1c4587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c4587"/>
          <w:sz w:val="20"/>
          <w:szCs w:val="20"/>
          <w:rtl w:val="0"/>
        </w:rPr>
        <w:t xml:space="preserve">prot. n. 3183   </w:t>
        <w:tab/>
        <w:tab/>
        <w:tab/>
        <w:tab/>
        <w:tab/>
        <w:tab/>
        <w:t xml:space="preserve">Sant’Angelo in Vado, 03.05.2022</w:t>
      </w:r>
    </w:p>
    <w:p w:rsidR="00000000" w:rsidDel="00000000" w:rsidP="00000000" w:rsidRDefault="00000000" w:rsidRPr="00000000" w14:paraId="0000000B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1914.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Team classi prime e seconde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primaria Sant’Angelo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137</w:t>
      </w:r>
    </w:p>
    <w:p w:rsidR="00000000" w:rsidDel="00000000" w:rsidP="00000000" w:rsidRDefault="00000000" w:rsidRPr="00000000" w14:paraId="0000001A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Programmazione </w:t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Si comunica che il giorno 10 maggio 2022, l’incontro si svolgerà, in modalità videoconferenza, alle ore 15.30 per discutere il seguente O.d.G.:</w:t>
      </w:r>
    </w:p>
    <w:p w:rsidR="00000000" w:rsidDel="00000000" w:rsidP="00000000" w:rsidRDefault="00000000" w:rsidRPr="00000000" w14:paraId="00000020">
      <w:pPr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Analisi del progetto di recupero verticale attuato nelle ultime settimane.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L’ins.te Sacchi invierà il link ai partecipanti.</w:t>
      </w:r>
    </w:p>
    <w:p w:rsidR="00000000" w:rsidDel="00000000" w:rsidP="00000000" w:rsidRDefault="00000000" w:rsidRPr="00000000" w14:paraId="00000025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lef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B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ibe3HJ/Zr5d85T/EsP+qLo1B6A==">AMUW2mW8ME53hximw4FmA1jCvzfFRO135qSo3HXuVMB6LudLOVKvwLxuZSvAd68f3tuRTSf2ItQyUaqcoWt5CZFmNQLCsqy5Oen/2Y30yQkIS/NNzo28o6kdkJ4Ox0a8tTMH8S10x6E7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