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Meie Script" w:cs="Meie Script" w:eastAsia="Meie Script" w:hAnsi="Meie Script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1287" w:right="685" w:firstLine="153.0000000000001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4">
      <w:pPr>
        <w:pStyle w:val="Heading1"/>
        <w:pageBreakBefore w:val="0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5">
      <w:pPr>
        <w:pStyle w:val="Heading1"/>
        <w:pageBreakBefore w:val="0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6">
      <w:pPr>
        <w:pageBreakBefore w:val="0"/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3632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28.05.2021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Ai docenti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Al DSGA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ab/>
        <w:tab/>
        <w:tab/>
        <w:tab/>
        <w:tab/>
        <w:t xml:space="preserve">CIRCOLARE N. 151</w:t>
      </w:r>
    </w:p>
    <w:p w:rsidR="00000000" w:rsidDel="00000000" w:rsidP="00000000" w:rsidRDefault="00000000" w:rsidRPr="00000000" w14:paraId="00000015">
      <w:pPr>
        <w:pageBreakBefore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Corso di formazione per docenti  italiano L2</w:t>
      </w:r>
    </w:p>
    <w:p w:rsidR="00000000" w:rsidDel="00000000" w:rsidP="00000000" w:rsidRDefault="00000000" w:rsidRPr="00000000" w14:paraId="00000017">
      <w:pPr>
        <w:pageBreakBefore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riferimento all’oggetto si comunica che il corso sarà tenuto dalla prof.ssa Battelli e si svolgerà nei giorni da lunedì 20 a giovedì 23, dalle ore 9.00 alle ore 11.30, per un totale di 10 ore, presso i locali del plesso di via Roma.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Contenuti:</w:t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sz w:val="20"/>
          <w:szCs w:val="20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✔ concetti di base: differenze tra L1/L2/LS</w:t>
          </w:r>
        </w:sdtContent>
      </w:sdt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sz w:val="20"/>
          <w:szCs w:val="20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✔ classificazione delle lingue</w:t>
          </w:r>
        </w:sdtContent>
      </w:sdt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sz w:val="20"/>
          <w:szCs w:val="20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✔ concetto di interlingua</w:t>
          </w:r>
        </w:sdtContent>
      </w:sdt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sz w:val="20"/>
          <w:szCs w:val="20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✔ i livelli di apprendimento, il sillabus e il CEFR per le lingue</w:t>
          </w:r>
        </w:sdtContent>
      </w:sdt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  <w:sz w:val="20"/>
          <w:szCs w:val="20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✔ funzionamento dell’apprendimento di una lingua</w:t>
          </w:r>
        </w:sdtContent>
      </w:sdt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  <w:sz w:val="20"/>
          <w:szCs w:val="20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✔ breve storia della didattica delle lingue straniere, metodologie</w:t>
          </w:r>
        </w:sdtContent>
      </w:sdt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  <w:sz w:val="20"/>
          <w:szCs w:val="20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✔ piano di accoglienza per alunni stranieri</w:t>
          </w:r>
        </w:sdtContent>
      </w:sdt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  <w:sz w:val="20"/>
          <w:szCs w:val="20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✔ i test linguistici</w:t>
          </w:r>
        </w:sdtContent>
      </w:sdt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  <w:sz w:val="20"/>
          <w:szCs w:val="20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✔ individuazione bisogni e valutazione strategie</w:t>
          </w:r>
        </w:sdtContent>
      </w:sdt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  <w:sz w:val="20"/>
          <w:szCs w:val="20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✔ metodi ed esercizi pratici</w:t>
          </w:r>
        </w:sdtContent>
      </w:sdt>
    </w:p>
    <w:p w:rsidR="00000000" w:rsidDel="00000000" w:rsidP="00000000" w:rsidRDefault="00000000" w:rsidRPr="00000000" w14:paraId="00000024">
      <w:pPr>
        <w:rPr>
          <w:rFonts w:ascii="Verdana" w:cs="Verdana" w:eastAsia="Verdana" w:hAnsi="Verdana"/>
          <w:sz w:val="20"/>
          <w:szCs w:val="20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✔ i materiali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 l’adesione cliccare sul link seguente entro mercoledì 1 giugno 2022:</w:t>
      </w:r>
    </w:p>
    <w:p w:rsidR="00000000" w:rsidDel="00000000" w:rsidP="00000000" w:rsidRDefault="00000000" w:rsidRPr="00000000" w14:paraId="00000026">
      <w:pPr>
        <w:spacing w:after="240" w:before="240" w:line="360" w:lineRule="auto"/>
        <w:jc w:val="center"/>
        <w:rPr>
          <w:rFonts w:ascii="Verdana" w:cs="Verdana" w:eastAsia="Verdana" w:hAnsi="Verdana"/>
          <w:sz w:val="20"/>
          <w:szCs w:val="20"/>
          <w:u w:val="single"/>
        </w:rPr>
      </w:pPr>
      <w:hyperlink r:id="rId9">
        <w:r w:rsidDel="00000000" w:rsidR="00000000" w:rsidRPr="00000000">
          <w:rPr>
            <w:rFonts w:ascii="Verdana" w:cs="Verdana" w:eastAsia="Verdana" w:hAnsi="Verdana"/>
            <w:color w:val="1155cc"/>
            <w:sz w:val="26"/>
            <w:szCs w:val="26"/>
            <w:u w:val="single"/>
            <w:rtl w:val="0"/>
          </w:rPr>
          <w:t xml:space="preserve">https://forms.gle/Si5QgPccuJdXczFu7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dott.ssa Sabrina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Arial Unicode MS"/>
  <w:font w:name="Italianno">
    <w:embedRegular w:fontKey="{00000000-0000-0000-0000-000000000000}" r:id="rId1" w:subsetted="0"/>
  </w:font>
  <w:font w:name="Meie Script">
    <w:embedRegular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forms.gle/Si5QgPccuJdXczFu7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Relationship Id="rId2" Type="http://schemas.openxmlformats.org/officeDocument/2006/relationships/font" Target="fonts/MeieScrip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NJ1Z/gzrEmMHlC/ay3vY0AEwOg==">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