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6481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26.11.2021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Aggiornamento delle indicazioni sulla somministrazione di dosi “booster” nell’ambito della campagna di vaccinazione anti SARS-CoV-2/COVID-19.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Facendo seguito alle circolari prot. n.° 45886-08/10/2021-DGPRE, prot. n° 49399-29/10/2021- DGPRE, prot. n° 50080-03/11/2021-DGPRE, prot. n.° 051396-11/11/2021-DGPRE, 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visto il parere della CTS di AIFA, trasmesso con prot. n. 0136305-STDG-22/11/2021, 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tenuto conto dell’attuale condizione di aumentata circolazione virale e ripresa della curva epidemica e in un’ottica di massima precauzione,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si rappresenta che </w:t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partire dal giorno successivo alla pubblicazione in Gazzetta Ufficiale della relativa determina a cura di AIFA, nell’ambito della campagna di vaccinazione anti-SARS-CoV-2/COVID-19, l’intervallo minimo previsto per la somministrazione della dose “booster” (di richiamo) con vaccino a m-RNA, alle categorie per le quali è già raccomandata (inclusi tutti i soggetti vaccinati con una unica dose di vaccino Janssen) e nei dosaggi autorizzati per la stessa (30 mcg in 0,3 mL per Comirnaty di Pfizer/BioNTech; 50 mcg in 0,25 mL per Spikevax di Moderna),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è aggiornato a cinque mesi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(150 giorni) dal completamento del ciclo primario di vaccinazione, indipendentemente dal vaccino precedentemente utilizzato.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Allego nota  m_pi.AOOGABMI.REGISTRO UFFICIALE(I).0050996.23‐11‐2021 c.a. 1‐2‐3  </w:t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3BHR1uVeyviMwMgFQwDJrVaZg==">AMUW2mWclp/djiXZOiv9B44PsNZphELqk9QdBW8WXlQlyFVSZkpzP2Am6z6Weubxu8E6pRv5ODSaS+RbWm9t8RtE9JUrHLIDOzYcieFdNx9XAe9WCw7ewvVUHVlLvwt+WbXgxC6RgfDp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