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747</w:t>
        <w:tab/>
        <w:tab/>
        <w:tab/>
        <w:tab/>
        <w:tab/>
        <w:tab/>
        <w:t xml:space="preserve">Sant’Angelo in Vado, 29.01.2022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della scuola primaria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Scrutini primo quadrimestre scuola primaria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Sono convocati gli scrutini del Primo quadrimestre, con il seguente Ordine del Giorno: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Valutazione intermedia delle alunne e degli alunni della Scuola Primaria.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Com’è noto, il 4 dicembre scorso è stata emanata l’Ordinanza Ministeriale n. 172 - con relative Linee Guida - che ha introdotto il giudizio descrittivo al posto dei voti numerici nella valutazione periodica e finale della scuola primaria, secondo quanto stabilito dal Decreto Scuola approvato a giugno. Pertanto, le valutazioni saranno adeguate a quanto disposto e a quanto successivamente deliberato dal Collegio dei docenti.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Ritengo, comunque, opportuno riportare qui di seguito uno stralcio dell’art. 2 del DLgs. 62/2017, tutt’ora vigente: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“La valutazione è effettuata collegialmente dai docenti contitolari della classe.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incaricati dell'insegnamento della religione cattolica e di attività alternative all'insegnamento della religione cattolica, partecipano alla valutazione delle alunne e degli alunni che  si  avvalgono  dei  suddetti  insegnamenti.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di sostegno partecipano alla valutazione di  tutte le alunne e gli alunni della classe; nel caso in cui a più docenti di sostegno sia affidato, nel corso dell'anno scolastico, la stessa alunna o lo stesso alunno con disabilità, la valutazione è espressa congiuntamente.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del comportamento dell'alunna e dell'alunno viene espressa collegialmente dai docenti attraverso un giudizio sintetico riportato nel documento di valutazione, secondo quanto specificato nel comma 3 dell'articolo 1”.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dell’educazione civica viene espressa dal coordinatore di classe, su proposta del team docente.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 scrutinio sarà presieduto dal Coordinatore del Team docenti.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Operativamente, il Coordinatore, che presiede la seduta, apre lo scrutinio mostrando le valutazioni conseguite nella varie discipline e la sua proposta di valutazione del comportamento; successivamente procede, dopo l’eventuale discussione, alla votazione per la ratifica finale e alla stesura del verbale e del tabellone riassuntivo.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Nei casi in cui si riscontrino particolari difficoltà il Coordinatore presenterà breve relazione al Dirigente Scolastico indicando gli interventi di recupero programmati dal team docente.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riunioni si svolgeranno in videoconferenza secondo il calendario riportato di seguito: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550"/>
        <w:gridCol w:w="2250"/>
        <w:gridCol w:w="2407"/>
        <w:tblGridChange w:id="0">
          <w:tblGrid>
            <w:gridCol w:w="2407"/>
            <w:gridCol w:w="2550"/>
            <w:gridCol w:w="2250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 9 Febbraio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5A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5B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 10 Febbraio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Mercatello sul Metauro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2C - 3C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4C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5C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Borgo Pace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1D-2D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4D-5D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16.20</w:t>
            </w:r>
          </w:p>
        </w:tc>
      </w:tr>
    </w:tbl>
    <w:p w:rsidR="00000000" w:rsidDel="00000000" w:rsidP="00000000" w:rsidRDefault="00000000" w:rsidRPr="00000000" w14:paraId="0000006E">
      <w:pPr>
        <w:spacing w:after="160" w:line="259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4320" w:firstLine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Dirigente Scolastico</w:t>
      </w:r>
    </w:p>
    <w:p w:rsidR="00000000" w:rsidDel="00000000" w:rsidP="00000000" w:rsidRDefault="00000000" w:rsidRPr="00000000" w14:paraId="00000071">
      <w:pPr>
        <w:spacing w:after="160" w:line="259" w:lineRule="auto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dott.ssa Sabrina Franciosi</w:t>
      </w:r>
    </w:p>
    <w:p w:rsidR="00000000" w:rsidDel="00000000" w:rsidP="00000000" w:rsidRDefault="00000000" w:rsidRPr="00000000" w14:paraId="00000072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73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LriAxD1aLKz1i7whGmOKEcjUg==">AMUW2mXlFEWc8GAN+UleeA+B1RIvqWIadpQ+f1dkLgLUYT4yeOqVV68MeJZRr1VmQdeFy7LTpicFY1Bql4y25+Usj8PZbot8wzoifSD293kyzyFB80LBsSjwxc1DvE/tGcU3sQfHk0ty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