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965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05.02.2022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Alle Famiglie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Nuove disposizioni governative in presenza di casi Covid nella scuola. Sintesi delle misure in vigore da sabato 05.02.2022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Scuola dell’infanzia 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Fino a quattro casi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positività nella stessa sezione/gruppo classe, l’attività educativa e didattica prosegue in presenza per tutti.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È previsto l’utilizzo di mascherine ffp2 da parte dei docenti e degli educatori fino al decimo giorno successivo alla conoscenza dell’ultimo caso di positività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caso di comparsa di sintomi, è obbligatorio effettuare un test antigenico (rapido o autosomministrato) o un test molecolare. Se si è ancora sintomatici, il test va ripetuto al quinto giorno successivo alla data dell’ultimo contatto.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 cinque o più casi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di positività nella stessa sezione/gruppo classe l’attività educativa e didattica è sospesa per cinque giorni.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Scuola primaria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Fino a quattro casi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positività nella stessa classe le attività proseguono per tutti in presenza con l’utilizzo di mascherine ffp2 (sia nel caso dei docenti che degli alunni sopra i 6 anni) fino al decimo giorno successivo alla conoscenza dell’ultimo caso di positività.</w:t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caso di comparsa di sintomi, è obbligatorio effettuare un test antigenico (rapido o autosomministrato) o un molecolare. Se si è ancora sintomatici, il test va ripetuto al quinto giorno successivo alla data dell’ultimo contatto.</w:t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 cinque o più casi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di positività nella stessa classe i vaccinati e i guariti da meno di 120 giorni o dopo il ciclo vaccinale primario, i vaccinati con dose di richiamo e gli esenti dalla vaccinazione proseguono l’attività in presenza con l’utilizzo della mascherina ffp2 (sia nel caso dei docenti che degli alunni sopra i 6 anni) fino al decimo giorno successivo alla conoscenza dell’ultimo caso di positività.</w:t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la permanenza in aula è sufficiente la certificazione verde, controllata tramite App mobile.</w:t>
      </w:r>
    </w:p>
    <w:p w:rsidR="00000000" w:rsidDel="00000000" w:rsidP="00000000" w:rsidRDefault="00000000" w:rsidRPr="00000000" w14:paraId="0000002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gli altri alunni è prevista la didattica digitale integrata per cinque giorni.</w:t>
      </w:r>
    </w:p>
    <w:p w:rsidR="00000000" w:rsidDel="00000000" w:rsidP="00000000" w:rsidRDefault="00000000" w:rsidRPr="00000000" w14:paraId="0000002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Scuola secondaria di I grado</w:t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 un caso di positività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nella stessa classe l’attività didattica prosegue per tutti con l’utilizzo di mascherine ffp2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 due o più casi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di positività nella stessa classe i vaccinati e i guariti da meno di 120 giorni o dopo il ciclo vaccinale primario, i vaccinati con dose di richiamo e gli esenti dalla vaccinazione proseguono l’attività in presenza con l’utilizzo di mascherine ffp2.</w:t>
      </w:r>
    </w:p>
    <w:p w:rsidR="00000000" w:rsidDel="00000000" w:rsidP="00000000" w:rsidRDefault="00000000" w:rsidRPr="00000000" w14:paraId="0000003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la permanenza in aula è sufficiente la certificazione verde, controllata tramite App mobile.</w:t>
      </w:r>
    </w:p>
    <w:p w:rsidR="00000000" w:rsidDel="00000000" w:rsidP="00000000" w:rsidRDefault="00000000" w:rsidRPr="00000000" w14:paraId="0000003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gli altri studenti è prevista la didattica digitale integrata per cinque giorni.</w:t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Regime sanitario</w:t>
      </w:r>
    </w:p>
    <w:p w:rsidR="00000000" w:rsidDel="00000000" w:rsidP="00000000" w:rsidRDefault="00000000" w:rsidRPr="00000000" w14:paraId="0000003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 cinque o più casi di positività nella scuola dell’infanzia e nella scuola primaria e con due casi o più di positività nella scuola secondaria di I grado, si applica ai bambini e agli alunni il regime sanitario dell’autosorveglianza, ove ne ricorrano le condizioni (vaccinati e guariti da meno di 120 giorni o dopo il ciclo vaccinale primario, vaccinati con dose di richiamo), altrimenti si applica il regime sanitario della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quarantena precauzionale di cinque giorni, che termina con un tampone negativo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Per i successivi cinque giorni dopo il rientro dalla quarantena gli studenti dai 6 anni in su indossano la mascherina ffp2.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H3bGFp8LOwVFFSohLTxCHU4VQ==">AMUW2mXRgdbJMR86K/gfL7m5TMAo7OpfK+D2srvyOSaXthQWh+kfKA9lgUoCZS0evAswiog4vtiTORcGvthsz0FbtbbmmsP0eHnYu8UEQm4NIkS00lLavMakCWcWm8K5vfEf9EhzJP0s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